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23" w:rsidRPr="006E4B26" w:rsidRDefault="00D46830" w:rsidP="00573D23">
      <w:pPr>
        <w:pStyle w:val="Default"/>
        <w:rPr>
          <w:rFonts w:asciiTheme="majorBidi" w:hAnsiTheme="majorBidi" w:cstheme="majorBidi"/>
          <w:sz w:val="28"/>
          <w:szCs w:val="28"/>
        </w:rPr>
      </w:pPr>
      <w:r>
        <w:rPr>
          <w:lang w:bidi="ar-JO"/>
        </w:rPr>
        <w:t>Internal medicine lecture #7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 xml:space="preserve">endocrine disorders 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>THYROID GLAND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one  of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the largest glands 10-20gm in adults , found in the neck below the thyroid cartilage attached to trachea 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 xml:space="preserve">its size changes with </w:t>
      </w:r>
      <w:r w:rsidR="00F76507" w:rsidRPr="006E4B26">
        <w:rPr>
          <w:rFonts w:asciiTheme="majorBidi" w:hAnsiTheme="majorBidi" w:cstheme="majorBidi"/>
          <w:sz w:val="28"/>
          <w:szCs w:val="28"/>
          <w:lang w:bidi="ar-JO"/>
        </w:rPr>
        <w:t>age and iodine intake (</w:t>
      </w:r>
      <w:r w:rsidRPr="006E4B26">
        <w:rPr>
          <w:rFonts w:asciiTheme="majorBidi" w:hAnsiTheme="majorBidi" w:cstheme="majorBidi"/>
          <w:sz w:val="28"/>
          <w:szCs w:val="28"/>
        </w:rPr>
        <w:t>increases with age and body weight, decreases with increasing iodine intake</w:t>
      </w:r>
      <w:r w:rsidRPr="006E4B2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4B26">
        <w:rPr>
          <w:rFonts w:asciiTheme="majorBidi" w:hAnsiTheme="majorBidi" w:cstheme="majorBidi"/>
          <w:sz w:val="28"/>
          <w:szCs w:val="28"/>
        </w:rPr>
        <w:t>)</w:t>
      </w:r>
      <w:r w:rsidRPr="006E4B26">
        <w:rPr>
          <w:rFonts w:asciiTheme="majorBidi" w:hAnsiTheme="majorBidi" w:cstheme="majorBidi"/>
          <w:sz w:val="28"/>
          <w:szCs w:val="28"/>
        </w:rPr>
        <w:br/>
      </w:r>
      <w:r w:rsidRPr="006E4B2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6E4B26">
        <w:rPr>
          <w:rFonts w:asciiTheme="majorBidi" w:hAnsiTheme="majorBidi" w:cstheme="majorBidi"/>
          <w:sz w:val="28"/>
          <w:szCs w:val="28"/>
        </w:rPr>
        <w:br/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the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thyroid hormones,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proofErr w:type="spellStart"/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triiodothyronine</w:t>
      </w:r>
      <w:proofErr w:type="spellEnd"/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(</w:t>
      </w:r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</w:rPr>
        <w:t>T</w:t>
      </w:r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  <w:vertAlign w:val="subscript"/>
        </w:rPr>
        <w:t>3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) and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proofErr w:type="spellStart"/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thyroxine</w:t>
      </w:r>
      <w:proofErr w:type="spellEnd"/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 xml:space="preserve"> 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(</w:t>
      </w:r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</w:rPr>
        <w:t>T</w:t>
      </w:r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  <w:vertAlign w:val="subscript"/>
        </w:rPr>
        <w:t>4</w:t>
      </w:r>
      <w:r w:rsidR="00F76507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 major hormone from thyroid gland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), are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tyrosine-based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hormones</w:t>
      </w:r>
      <w:r w:rsidR="00F76507" w:rsidRPr="006E4B26">
        <w:rPr>
          <w:rFonts w:asciiTheme="majorBidi" w:hAnsiTheme="majorBidi" w:cstheme="majorBidi"/>
          <w:sz w:val="28"/>
          <w:szCs w:val="28"/>
        </w:rPr>
        <w:t xml:space="preserve"> ,</w:t>
      </w:r>
      <w:r w:rsidR="00F76507"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F76507" w:rsidRPr="006E4B26">
        <w:rPr>
          <w:rStyle w:val="apple-style-span"/>
          <w:rFonts w:asciiTheme="majorBidi" w:hAnsiTheme="majorBidi" w:cstheme="majorBidi"/>
          <w:sz w:val="28"/>
          <w:szCs w:val="28"/>
        </w:rPr>
        <w:t>Iodine</w:t>
      </w:r>
      <w:r w:rsidR="00F76507"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F76507" w:rsidRPr="006E4B26">
        <w:rPr>
          <w:rStyle w:val="apple-style-span"/>
          <w:rFonts w:asciiTheme="majorBidi" w:hAnsiTheme="majorBidi" w:cstheme="majorBidi"/>
          <w:sz w:val="28"/>
          <w:szCs w:val="28"/>
        </w:rPr>
        <w:t>is necessary for their  production.</w:t>
      </w:r>
      <w:r w:rsidR="00F76507" w:rsidRPr="006E4B26">
        <w:rPr>
          <w:rFonts w:asciiTheme="majorBidi" w:hAnsiTheme="majorBidi" w:cstheme="majorBidi"/>
          <w:sz w:val="28"/>
          <w:szCs w:val="28"/>
        </w:rPr>
        <w:br/>
        <w:t xml:space="preserve">remember that T4 is a </w:t>
      </w:r>
      <w:proofErr w:type="spellStart"/>
      <w:r w:rsidR="00F76507" w:rsidRPr="006E4B26">
        <w:rPr>
          <w:rFonts w:asciiTheme="majorBidi" w:hAnsiTheme="majorBidi" w:cstheme="majorBidi"/>
          <w:sz w:val="28"/>
          <w:szCs w:val="28"/>
        </w:rPr>
        <w:t>prohormone</w:t>
      </w:r>
      <w:proofErr w:type="spellEnd"/>
      <w:r w:rsidR="00F76507" w:rsidRPr="006E4B26">
        <w:rPr>
          <w:rFonts w:asciiTheme="majorBidi" w:hAnsiTheme="majorBidi" w:cstheme="majorBidi"/>
          <w:sz w:val="28"/>
          <w:szCs w:val="28"/>
        </w:rPr>
        <w:t xml:space="preserve"> not active on peripheral tissues</w:t>
      </w:r>
      <w:r w:rsidR="008F3CB0"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>and it is a reservoir for the most active and main thyroid hormone T</w:t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  <w:vertAlign w:val="subscript"/>
        </w:rPr>
        <w:t>3</w:t>
      </w:r>
      <w:r w:rsidR="006C46B1" w:rsidRPr="006E4B26">
        <w:rPr>
          <w:rStyle w:val="apple-style-span"/>
          <w:rFonts w:asciiTheme="majorBidi" w:hAnsiTheme="majorBidi" w:cstheme="majorBidi"/>
          <w:sz w:val="28"/>
          <w:szCs w:val="28"/>
        </w:rPr>
        <w:t>,</w:t>
      </w:r>
      <w:r w:rsidR="006C46B1" w:rsidRPr="006E4B26">
        <w:rPr>
          <w:rStyle w:val="apple-style-span"/>
          <w:rFonts w:asciiTheme="majorBidi" w:hAnsiTheme="majorBidi" w:cstheme="majorBidi"/>
          <w:sz w:val="28"/>
          <w:szCs w:val="28"/>
        </w:rPr>
        <w:br/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>T</w:t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  <w:vertAlign w:val="subscript"/>
        </w:rPr>
        <w:t>4</w:t>
      </w:r>
      <w:r w:rsidR="008F3CB0"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is converted </w:t>
      </w:r>
      <w:r w:rsidR="006C46B1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to T3 </w:t>
      </w:r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by </w:t>
      </w:r>
      <w:proofErr w:type="spellStart"/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>iodothronine</w:t>
      </w:r>
      <w:proofErr w:type="spellEnd"/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F3CB0" w:rsidRPr="006E4B26">
        <w:rPr>
          <w:rStyle w:val="apple-style-span"/>
          <w:rFonts w:asciiTheme="majorBidi" w:hAnsiTheme="majorBidi" w:cstheme="majorBidi"/>
          <w:sz w:val="28"/>
          <w:szCs w:val="28"/>
        </w:rPr>
        <w:t>deiodinase</w:t>
      </w:r>
      <w:proofErr w:type="spellEnd"/>
      <w:r w:rsidR="006C46B1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 enzyme</w:t>
      </w:r>
      <w:r w:rsidR="008F3CB0"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6C46B1" w:rsidRPr="006E4B26">
        <w:rPr>
          <w:rStyle w:val="apple-converted-space"/>
          <w:rFonts w:asciiTheme="majorBidi" w:hAnsiTheme="majorBidi" w:cstheme="majorBidi"/>
          <w:sz w:val="28"/>
          <w:szCs w:val="28"/>
        </w:rPr>
        <w:t>a</w:t>
      </w:r>
      <w:r w:rsidR="008F3CB0" w:rsidRPr="006E4B26">
        <w:rPr>
          <w:rStyle w:val="apple-converted-space"/>
          <w:rFonts w:asciiTheme="majorBidi" w:hAnsiTheme="majorBidi" w:cstheme="majorBidi"/>
          <w:sz w:val="28"/>
          <w:szCs w:val="28"/>
        </w:rPr>
        <w:t>s required in peripheral tissues ( liver , kidney ,muscles ..)</w:t>
      </w:r>
      <w:r w:rsidR="00F76507" w:rsidRPr="006E4B26">
        <w:rPr>
          <w:rFonts w:asciiTheme="majorBidi" w:hAnsiTheme="majorBidi" w:cstheme="majorBidi"/>
          <w:sz w:val="28"/>
          <w:szCs w:val="28"/>
        </w:rPr>
        <w:br/>
      </w:r>
      <w:r w:rsidR="006C46B1" w:rsidRPr="006E4B26">
        <w:rPr>
          <w:rFonts w:asciiTheme="majorBidi" w:hAnsiTheme="majorBidi" w:cstheme="majorBidi"/>
          <w:sz w:val="28"/>
          <w:szCs w:val="28"/>
        </w:rPr>
        <w:br/>
      </w:r>
      <w:r w:rsidR="00DB02A8" w:rsidRPr="006E4B26">
        <w:rPr>
          <w:rFonts w:asciiTheme="majorBidi" w:hAnsiTheme="majorBidi" w:cstheme="majorBidi"/>
          <w:sz w:val="28"/>
          <w:szCs w:val="28"/>
          <w:lang w:bidi="ar-JO"/>
        </w:rPr>
        <w:t xml:space="preserve">if the  position of any of iodine ions changed from  its original one  then the result would be reverse T3 (rT3) which is totally inactive and has no biological  effect </w:t>
      </w:r>
      <w:r w:rsidR="00050542" w:rsidRPr="006E4B26">
        <w:rPr>
          <w:rStyle w:val="apple-style-span"/>
          <w:rFonts w:asciiTheme="majorBidi" w:hAnsiTheme="majorBidi" w:cstheme="majorBidi"/>
          <w:sz w:val="28"/>
          <w:szCs w:val="28"/>
        </w:rPr>
        <w:t>(r</w:t>
      </w:r>
      <w:r w:rsidR="00F812E2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everse T3 is manufactured from </w:t>
      </w:r>
      <w:proofErr w:type="spellStart"/>
      <w:r w:rsidR="00F812E2" w:rsidRPr="006E4B26">
        <w:rPr>
          <w:rStyle w:val="apple-style-span"/>
          <w:rFonts w:asciiTheme="majorBidi" w:hAnsiTheme="majorBidi" w:cstheme="majorBidi"/>
          <w:sz w:val="28"/>
          <w:szCs w:val="28"/>
        </w:rPr>
        <w:t>thyroxine</w:t>
      </w:r>
      <w:proofErr w:type="spellEnd"/>
      <w:r w:rsidR="00F812E2"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 (T4), and it’s role is to block the action of T3</w:t>
      </w:r>
      <w:r w:rsidR="00050542" w:rsidRPr="006E4B26">
        <w:rPr>
          <w:rStyle w:val="apple-style-span"/>
          <w:rFonts w:asciiTheme="majorBidi" w:hAnsiTheme="majorBidi" w:cstheme="majorBidi"/>
          <w:sz w:val="28"/>
          <w:szCs w:val="28"/>
        </w:rPr>
        <w:t>)</w:t>
      </w:r>
      <w:r w:rsidR="00050542" w:rsidRPr="006E4B26">
        <w:rPr>
          <w:rStyle w:val="apple-style-span"/>
          <w:rFonts w:asciiTheme="majorBidi" w:hAnsiTheme="majorBidi" w:cstheme="majorBidi"/>
          <w:sz w:val="28"/>
          <w:szCs w:val="28"/>
        </w:rPr>
        <w:br/>
      </w:r>
      <w:r w:rsidR="00050542" w:rsidRPr="006E4B26">
        <w:rPr>
          <w:rStyle w:val="apple-style-span"/>
          <w:rFonts w:asciiTheme="majorBidi" w:hAnsiTheme="majorBidi" w:cstheme="majorBidi"/>
          <w:sz w:val="28"/>
          <w:szCs w:val="28"/>
        </w:rPr>
        <w:br/>
      </w:r>
      <w:r w:rsidR="00573D23" w:rsidRPr="006E4B26">
        <w:rPr>
          <w:rFonts w:asciiTheme="majorBidi" w:hAnsiTheme="majorBidi" w:cstheme="majorBidi"/>
          <w:sz w:val="28"/>
          <w:szCs w:val="28"/>
        </w:rPr>
        <w:t>Foods rich in iodine :</w:t>
      </w:r>
    </w:p>
    <w:p w:rsidR="001B0D1C" w:rsidRPr="006E4B26" w:rsidRDefault="00573D23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seafood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, seaweed, kelp, dairy products. </w:t>
      </w:r>
      <w:proofErr w:type="gramStart"/>
      <w:r w:rsidRPr="006E4B26">
        <w:rPr>
          <w:rFonts w:asciiTheme="majorBidi" w:hAnsiTheme="majorBidi" w:cstheme="majorBidi"/>
          <w:sz w:val="28"/>
          <w:szCs w:val="28"/>
        </w:rPr>
        <w:t>iodized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salt.</w:t>
      </w:r>
      <w:r w:rsidRPr="006E4B26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</w:rPr>
        <w:t>iodized</w:t>
      </w:r>
      <w:proofErr w:type="gramEnd"/>
      <w:r w:rsidRPr="006E4B26">
        <w:rPr>
          <w:rStyle w:val="apple-style-span"/>
          <w:rFonts w:asciiTheme="majorBidi" w:hAnsiTheme="majorBidi" w:cstheme="majorBidi"/>
          <w:b/>
          <w:bCs/>
          <w:sz w:val="28"/>
          <w:szCs w:val="28"/>
        </w:rPr>
        <w:t xml:space="preserve"> salt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 xml:space="preserve"> is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table salt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mixed with a minute amount of various salts of the element</w:t>
      </w:r>
      <w:r w:rsidRPr="006E4B2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E4B26">
        <w:rPr>
          <w:rStyle w:val="apple-style-span"/>
          <w:rFonts w:asciiTheme="majorBidi" w:hAnsiTheme="majorBidi" w:cstheme="majorBidi"/>
          <w:sz w:val="28"/>
          <w:szCs w:val="28"/>
        </w:rPr>
        <w:t>iodine. The ingestion of iodide prevents iodine deficiency.</w:t>
      </w:r>
      <w:r w:rsidRPr="006E4B26">
        <w:rPr>
          <w:rFonts w:asciiTheme="majorBidi" w:hAnsiTheme="majorBidi" w:cstheme="majorBidi"/>
          <w:sz w:val="28"/>
          <w:szCs w:val="28"/>
        </w:rPr>
        <w:br/>
      </w:r>
      <w:r w:rsidRPr="006E4B26">
        <w:rPr>
          <w:rFonts w:asciiTheme="majorBidi" w:hAnsiTheme="majorBidi" w:cstheme="majorBidi"/>
          <w:sz w:val="28"/>
          <w:szCs w:val="28"/>
        </w:rPr>
        <w:br/>
      </w:r>
      <w:r w:rsidR="001B0D1C" w:rsidRPr="006E4B26">
        <w:rPr>
          <w:rFonts w:asciiTheme="majorBidi" w:hAnsiTheme="majorBidi" w:cstheme="majorBidi"/>
          <w:sz w:val="28"/>
          <w:szCs w:val="28"/>
        </w:rPr>
        <w:t>*</w:t>
      </w:r>
      <w:r w:rsidR="00050542" w:rsidRPr="006E4B26">
        <w:rPr>
          <w:rFonts w:asciiTheme="majorBidi" w:hAnsiTheme="majorBidi" w:cstheme="majorBidi"/>
          <w:sz w:val="28"/>
          <w:szCs w:val="28"/>
        </w:rPr>
        <w:t>The recommended daily iodine intake</w:t>
      </w:r>
      <w:r w:rsidR="00050542"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differs </w:t>
      </w:r>
      <w:proofErr w:type="gramStart"/>
      <w:r w:rsidR="00050542" w:rsidRPr="006E4B26">
        <w:rPr>
          <w:rFonts w:asciiTheme="majorBidi" w:hAnsiTheme="majorBidi" w:cstheme="majorBidi"/>
          <w:sz w:val="28"/>
          <w:szCs w:val="28"/>
          <w:lang w:bidi="ar-JO"/>
        </w:rPr>
        <w:t>with age</w:t>
      </w:r>
      <w:r w:rsidR="001B0D1C"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 w:rsidR="001B0D1C"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="001B0D1C" w:rsidRPr="006E4B26">
        <w:rPr>
          <w:rFonts w:asciiTheme="majorBidi" w:hAnsiTheme="majorBidi" w:cstheme="majorBidi"/>
          <w:sz w:val="28"/>
          <w:szCs w:val="28"/>
        </w:rPr>
        <w:t xml:space="preserve">infants 0 -6 months: 110 mcg; </w:t>
      </w:r>
    </w:p>
    <w:p w:rsidR="001B0D1C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infants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7- 12 months: 130 mcg; </w:t>
      </w:r>
    </w:p>
    <w:p w:rsidR="001B0D1C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children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1- 8 years: 90 mcg; </w:t>
      </w:r>
    </w:p>
    <w:p w:rsidR="001B0D1C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children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9-13 years: 120 mcg; </w:t>
      </w:r>
    </w:p>
    <w:p w:rsidR="001B0D1C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adolescents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and adults: 150 mcg; </w:t>
      </w:r>
    </w:p>
    <w:p w:rsidR="001B0D1C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pregnant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women: 220 mcg; </w:t>
      </w:r>
    </w:p>
    <w:p w:rsidR="000353C0" w:rsidRPr="006E4B26" w:rsidRDefault="001B0D1C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</w:rPr>
        <w:t>lactating</w:t>
      </w:r>
      <w:proofErr w:type="gramEnd"/>
      <w:r w:rsidRPr="006E4B26">
        <w:rPr>
          <w:rFonts w:asciiTheme="majorBidi" w:hAnsiTheme="majorBidi" w:cstheme="majorBidi"/>
          <w:sz w:val="28"/>
          <w:szCs w:val="28"/>
        </w:rPr>
        <w:t xml:space="preserve"> women: 290 mcg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>notice that: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>-high recommended daily iodine intake in our first year after birth.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>-the category with highest recommended daily iodine intake is lactating women category.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  <w:t xml:space="preserve">-our recommended daily intake is measured by </w:t>
      </w:r>
      <w:r w:rsidRPr="006E4B26">
        <w:rPr>
          <w:rFonts w:asciiTheme="majorBidi" w:hAnsiTheme="majorBidi" w:cstheme="majorBidi"/>
          <w:i/>
          <w:iCs/>
          <w:sz w:val="28"/>
          <w:szCs w:val="28"/>
          <w:u w:val="single"/>
          <w:lang w:bidi="ar-JO"/>
        </w:rPr>
        <w:t>micrograms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="00024123" w:rsidRPr="006E4B26">
        <w:rPr>
          <w:rFonts w:asciiTheme="majorBidi" w:hAnsiTheme="majorBidi" w:cstheme="majorBidi"/>
          <w:sz w:val="28"/>
          <w:szCs w:val="28"/>
          <w:lang w:bidi="ar-JO"/>
        </w:rPr>
        <w:t xml:space="preserve">*some iodine-containing drugs could be a major source of iodine excess </w:t>
      </w:r>
      <w:r w:rsidR="00024123" w:rsidRPr="006E4B26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resulting in thyroid gland </w:t>
      </w:r>
      <w:proofErr w:type="gramStart"/>
      <w:r w:rsidR="00024123" w:rsidRPr="006E4B26">
        <w:rPr>
          <w:rFonts w:asciiTheme="majorBidi" w:hAnsiTheme="majorBidi" w:cstheme="majorBidi"/>
          <w:sz w:val="28"/>
          <w:szCs w:val="28"/>
          <w:lang w:bidi="ar-JO"/>
        </w:rPr>
        <w:t>problems .</w:t>
      </w:r>
      <w:proofErr w:type="gramEnd"/>
      <w:r w:rsidR="00024123"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="00024123" w:rsidRPr="006E4B26">
        <w:rPr>
          <w:rFonts w:asciiTheme="majorBidi" w:hAnsiTheme="majorBidi" w:cstheme="majorBidi"/>
          <w:sz w:val="28"/>
          <w:szCs w:val="28"/>
          <w:lang w:bidi="ar-JO"/>
        </w:rPr>
        <w:br/>
        <w:t>Iodine deficiency:</w:t>
      </w: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According to WHO, iodine deficiency is measured by iodine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excretion .</w:t>
      </w:r>
      <w:proofErr w:type="gramEnd"/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We consider iodine deficiency as a serious condition especially in infants or if the mother is suffering from iodine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defiecncy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leading to severe hypothyroidism and thus mental and growth retardation in infants, and the younger the age of the child the more dangerous the result will be.</w:t>
      </w: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Now, let's move to talking about thyroid hormone synthesis: </w:t>
      </w: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Idodine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transport: inside the follicular cells </w:t>
      </w:r>
    </w:p>
    <w:p w:rsidR="000353C0" w:rsidRPr="006E4B26" w:rsidRDefault="000353C0" w:rsidP="000353C0">
      <w:pPr>
        <w:pStyle w:val="Defaul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Oxidation of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idodide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by thyroid </w:t>
      </w:r>
      <w:proofErr w:type="spellStart"/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peroxidase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.</w:t>
      </w:r>
      <w:proofErr w:type="gramEnd"/>
    </w:p>
    <w:p w:rsidR="000353C0" w:rsidRPr="006E4B26" w:rsidRDefault="000353C0" w:rsidP="000353C0">
      <w:pPr>
        <w:pStyle w:val="Defaul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Attachment of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idodine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to tyrosine residues of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thyroglobulin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</w:p>
    <w:p w:rsidR="000353C0" w:rsidRPr="006E4B26" w:rsidRDefault="000353C0" w:rsidP="000353C0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Coupling of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iodotyrosyl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residues of </w:t>
      </w:r>
    </w:p>
    <w:p w:rsidR="000353C0" w:rsidRPr="006E4B26" w:rsidRDefault="000353C0" w:rsidP="000353C0">
      <w:pPr>
        <w:pStyle w:val="ListParagraph"/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thyroglobulin</w:t>
      </w:r>
      <w:proofErr w:type="spellEnd"/>
      <w:proofErr w:type="gramEnd"/>
    </w:p>
    <w:p w:rsidR="000353C0" w:rsidRPr="006E4B26" w:rsidRDefault="000353C0" w:rsidP="000353C0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*thyroid hormones present in the thyroid gland within the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thyroglobulin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protein as T3 or T4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Majority of T3 hormone are produced outside the thyroid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gland .(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Deiodination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of T4) 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353C0" w:rsidRPr="006E4B26" w:rsidRDefault="000353C0" w:rsidP="000353C0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>Feedback inhibition mechanism is present in thyroid hormone physiology such as any other hormone.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Regulation comes from higher centers of pituitary gland and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hypothalamus .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In excess thyroid production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cases ,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TSH hormone will be suppressed. 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This is important in the diagnosis of thyroid gland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pathology ,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by comparing the levels of T3 and T4 on one side and the level of TSH on the other side .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proofErr w:type="spellStart"/>
      <w:r w:rsidRPr="006E4B26">
        <w:rPr>
          <w:rFonts w:asciiTheme="majorBidi" w:hAnsiTheme="majorBidi" w:cstheme="majorBidi"/>
          <w:sz w:val="28"/>
          <w:szCs w:val="28"/>
          <w:lang w:bidi="ar-JO"/>
        </w:rPr>
        <w:t>deiodinase</w:t>
      </w:r>
      <w:proofErr w:type="spell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enzyme is the enzyme responsible for removal of the iodine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atoms ,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we have different types work at different levels and tissues . 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Hypothyroidism :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a major disease in females in older age .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Clinical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manifestations :</w:t>
      </w:r>
      <w:proofErr w:type="gramEnd"/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1) Generalized slowing of metabolic </w:t>
      </w:r>
      <w:proofErr w:type="gramStart"/>
      <w:r w:rsidRPr="006E4B26">
        <w:rPr>
          <w:rFonts w:asciiTheme="majorBidi" w:hAnsiTheme="majorBidi" w:cstheme="majorBidi"/>
          <w:sz w:val="28"/>
          <w:szCs w:val="28"/>
          <w:lang w:bidi="ar-JO"/>
        </w:rPr>
        <w:t>processes :</w:t>
      </w:r>
      <w:proofErr w:type="gramEnd"/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-fatigue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slow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movement and slow speech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cold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intolerance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constipation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weight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gain (but not morbid obesity)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delayed relaxation of deep tendon reflexes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-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Bradycardia</w:t>
      </w:r>
      <w:proofErr w:type="spell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We hear a lot of people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refering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their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weigh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gain to hypothyroidism and this is not true; weigh gain of hypothyroidism is only 1-2 </w:t>
      </w: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kiloes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.</w:t>
      </w:r>
      <w:proofErr w:type="gram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2)</w:t>
      </w:r>
      <w:r w:rsidRPr="006E4B26">
        <w:rPr>
          <w:rFonts w:asciiTheme="majorBidi" w:hAnsiTheme="majorBidi" w:cstheme="majorBidi"/>
          <w:sz w:val="28"/>
          <w:szCs w:val="28"/>
        </w:rPr>
        <w:t xml:space="preserve"> </w:t>
      </w: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Accumulation of matrix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glycosaminoglycans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in the interstitial spaces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coarse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hair and skin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puffy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face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enlargement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of the tongue </w:t>
      </w:r>
    </w:p>
    <w:p w:rsidR="000353C0" w:rsidRPr="006E4B26" w:rsidRDefault="000353C0" w:rsidP="000353C0">
      <w:pPr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-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hoarsness</w:t>
      </w:r>
      <w:proofErr w:type="spell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Skin signs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Cool and pale.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dryness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Sweating is decreased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Hair loss, with brittle nails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Nonpitting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edema (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myxedema</w:t>
      </w:r>
      <w:proofErr w:type="spellEnd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)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not common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Cardiovascular </w:t>
      </w:r>
      <w:proofErr w:type="gramStart"/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>effects :</w:t>
      </w:r>
      <w:proofErr w:type="gram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Increase in BP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Pericardial effusion in severe cases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Hypercholesterolemia: decreased cholesterol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metabolism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and increase in LDL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Gastrointestinal disorders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Decreased gut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motility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constipation.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Decreased taste sensation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Gastric atrophy due to the presence of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antiparietal</w:t>
      </w:r>
      <w:proofErr w:type="spellEnd"/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cell antibodies.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Celiac disease is 4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x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more common in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hypothyroidism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Modest weight gain due to decreased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metabolic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rate and accumulation of fluid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(</w:t>
      </w: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nonpitting</w:t>
      </w:r>
      <w:proofErr w:type="spellEnd"/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edema) .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Marked obesity is not characteristic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Ascites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is rare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Reproductive </w:t>
      </w:r>
      <w:proofErr w:type="gramStart"/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>system :</w:t>
      </w:r>
      <w:proofErr w:type="gramEnd"/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0353C0" w:rsidRPr="006E4B26" w:rsidRDefault="000353C0" w:rsidP="000353C0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lastRenderedPageBreak/>
        <w:t>Majority of Young females will have normal period but some will have irregular periods</w:t>
      </w:r>
    </w:p>
    <w:p w:rsidR="000353C0" w:rsidRPr="006E4B26" w:rsidRDefault="000353C0" w:rsidP="000353C0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Decreased fertility: and increased likelihood for early abortion </w:t>
      </w:r>
    </w:p>
    <w:p w:rsidR="000353C0" w:rsidRPr="006E4B26" w:rsidRDefault="000353C0" w:rsidP="000353C0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Hyperprolactinemia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Metabolic </w:t>
      </w:r>
      <w:proofErr w:type="gramStart"/>
      <w:r w:rsidRPr="006E4B26">
        <w:rPr>
          <w:rFonts w:asciiTheme="majorBidi" w:eastAsia="Times New Roman" w:hAnsiTheme="majorBidi" w:cstheme="majorBidi"/>
          <w:b/>
          <w:bCs/>
          <w:sz w:val="28"/>
          <w:szCs w:val="28"/>
        </w:rPr>
        <w:t>abnormalities :</w:t>
      </w:r>
      <w:proofErr w:type="gram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Dyslipidemia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is the main metabolic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abnormality .</w:t>
      </w:r>
      <w:proofErr w:type="gramEnd"/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Hyponatremia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PRIMARY HYPOTHYROIDISM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diagnosis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) :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• Subclinical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hypothyroidism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high TSH with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normal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free T4 and T3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• Overt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hypothyroidism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high TSH with low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free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T4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patients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with chromosomal syndromes have higher risk of Hashimoto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turner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syndrome : missing one sex chromosome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down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syndrome : additional chromosome)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32 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The firs cause was "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hashimoto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autoimmune disease"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second cause is "iatrogenic cause" : caused by physician for any reason 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1.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After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thyroidectomy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2. RAI: radioactive iodine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therapy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some diseases are treated by RAI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3. External radiotherapy in head and neck area "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specially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for children who suffer from cancer"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33 : read it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34 :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don't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memorize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but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you have just to know something about intra-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venus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radiographic contrast medium : we give it to the patient before taking CT scan , and it contains a huge amount of iodine load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these  sources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of excess iodine will affect thyroid glands function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lastRenderedPageBreak/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35 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Methimazole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and PTU "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polythyrouracil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" are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antithyrid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agents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if the patient take an excess dose he might end up with hypothyroidism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dr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didn't mention the other drugs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37: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Primary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hypothyroidism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high serum TSH and a low serum free T4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exception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>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*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in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central hypothyroidism : the problem here in the pituitary gland : low T4 but the pituitary cannot stimulate the thyroid ..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so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low T4 and low TSH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38 :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treatment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you don't have to know the dose or the procedures , you just should know that we give the patient "thyroxin" , and this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peplacement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therapy doesn't stimulate the thyroid gland , it just replaces the T4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39 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Mexydema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coma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severe case in hypothyroidism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41 :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don't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worry about thyroxin dose ,, but you just know that we give the patient higher dose than in normal hypothyroidism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43: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Hyperthyroidism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symptoms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warm and sweating are most common , but softening of the nails is rare symptom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vitiligo</w:t>
      </w:r>
      <w:proofErr w:type="spellEnd"/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6E4B26">
        <w:rPr>
          <w:rFonts w:asciiTheme="majorBidi" w:eastAsia="Times New Roman" w:hAnsiTheme="majorBidi" w:cstheme="majorBidi"/>
          <w:sz w:val="28"/>
          <w:szCs w:val="28"/>
          <w:rtl/>
        </w:rPr>
        <w:t>البهاق</w:t>
      </w: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: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depigmentation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in parts of the skin.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with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Grave's disease : raised,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hyperpigmented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violaceous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 localized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pupules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on the shin ((</w:t>
      </w:r>
      <w:r w:rsidRPr="006E4B26">
        <w:rPr>
          <w:rFonts w:asciiTheme="majorBidi" w:eastAsia="Times New Roman" w:hAnsiTheme="majorBidi" w:cstheme="majorBidi"/>
          <w:sz w:val="28"/>
          <w:szCs w:val="28"/>
          <w:rtl/>
        </w:rPr>
        <w:t>عظم الساق</w:t>
      </w: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45: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exophthalmos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protruded eye ball due to deposition of extracellular matrix in the orbital space which is limited space and proliferation in the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retroorbital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area so the eye ball is pushed forward , and this might lead to optic nerve atrophy and blindness , and also the eye ball is susceptible to infections and ulceration might occur and this is very painful and inconvenient and very serious health issue 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47 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tachycardia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is very common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AT (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atrial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fibrillation )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irregular heart beats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slide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48 :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hyper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defecation : increased frequency of defecation (not diarrhea)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Anorexia may be prominent in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elderly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but usually their appetite is good but they lose their weight !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Slide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54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diagnosis : elevated T4 + T3 , and suppressed TSH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Except in pituitary gland adenoma (tumor in pituitary gland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)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it might secrete over amount of TSH ( T4 and T3 are elevated without suppression in TSH )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Slide 56: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Most common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graves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disease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Slide 57: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Therapy to </w:t>
      </w: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hyperthyrodisim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;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1.</w:t>
      </w:r>
      <w:r w:rsidRPr="006E4B26">
        <w:rPr>
          <w:rFonts w:asciiTheme="majorBidi" w:eastAsia="Times New Roman" w:hAnsiTheme="majorBidi" w:cstheme="majorBidi"/>
          <w:sz w:val="28"/>
          <w:szCs w:val="28"/>
        </w:rPr>
        <w:tab/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Methimazole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more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effective )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2.</w:t>
      </w:r>
      <w:r w:rsidRPr="006E4B26">
        <w:rPr>
          <w:rFonts w:asciiTheme="majorBidi" w:eastAsia="Times New Roman" w:hAnsiTheme="majorBidi" w:cstheme="majorBidi"/>
          <w:sz w:val="28"/>
          <w:szCs w:val="28"/>
        </w:rPr>
        <w:tab/>
        <w:t xml:space="preserve">PTU …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propylthiouracil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safer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)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Both have rare side effects … might have immune deficiency due to these drugs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very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serious )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Slide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58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Radio active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therapy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first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line therapy ) in more developed countries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Slide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59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Third choice is surgery … we use it if we have higher indications such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as ..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large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goiter which causes problems , difficulty in swallowing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Slide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60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Steroids ..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there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are a wide variety of steroids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Slide 61: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Cortisol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hydrocortisone ,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prednisolone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dexamethasone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( most common used)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This table gives us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comparasion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between the anti-inflammatory activity of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steroids  .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Dexamethasone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..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most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( potent )…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30 times more than HC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Slide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62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Uses of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cortisone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Autoimmune disease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Lupus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Sarcoidosis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Dermatological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disease .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Most commonly used … IV form …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cortisone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dexamethasone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Cushing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syndrome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excess endogenous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cortisol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production , or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iatragenic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for people who take high doses of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cortisol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for long period of time .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Characteristics of this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syndrome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Moon face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Center obesity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Buffel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hump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Thining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of the skin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Acne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Hirsutism</w:t>
      </w:r>
      <w:proofErr w:type="spell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Abdominal </w:t>
      </w:r>
      <w:proofErr w:type="spellStart"/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striae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the same as the thinning of the skin so the venous blood visible from outside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Cataract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Hypertension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sodium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and fluid retention )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Gastritis ,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gastric ulcer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Pancreatitis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Osteoporosis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( 10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mg for 3 weeks … bone start to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resorb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( bone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loss )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Connective tissue disorder …..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Bronchial asthma ……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Cops ………… take cortisone for long terms and recurrent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>Psychiatric symptoms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Steroid psychosis … change the personality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Diabetes…..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precipitate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diabetes 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……unmasked existing diabetes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Suppression to the adrenal gland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So the use of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cortisol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should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be :</w:t>
      </w:r>
      <w:proofErr w:type="gramEnd"/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Minimal dose minimal duration </w:t>
      </w: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1816F5" w:rsidRPr="006E4B26" w:rsidRDefault="001816F5" w:rsidP="001816F5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0353C0" w:rsidRPr="006E4B26" w:rsidRDefault="001816F5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Done </w:t>
      </w:r>
      <w:proofErr w:type="gramStart"/>
      <w:r w:rsidRPr="006E4B26">
        <w:rPr>
          <w:rFonts w:asciiTheme="majorBidi" w:eastAsia="Times New Roman" w:hAnsiTheme="majorBidi" w:cstheme="majorBidi"/>
          <w:sz w:val="28"/>
          <w:szCs w:val="28"/>
        </w:rPr>
        <w:t>by :</w:t>
      </w:r>
      <w:proofErr w:type="gram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ruba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 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majd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</w:t>
      </w:r>
      <w:proofErr w:type="spellStart"/>
      <w:r w:rsidRPr="006E4B26">
        <w:rPr>
          <w:rFonts w:asciiTheme="majorBidi" w:eastAsia="Times New Roman" w:hAnsiTheme="majorBidi" w:cstheme="majorBidi"/>
          <w:sz w:val="28"/>
          <w:szCs w:val="28"/>
        </w:rPr>
        <w:t>karmel</w:t>
      </w:r>
      <w:proofErr w:type="spellEnd"/>
      <w:r w:rsidRPr="006E4B26">
        <w:rPr>
          <w:rFonts w:asciiTheme="majorBidi" w:eastAsia="Times New Roman" w:hAnsiTheme="majorBidi" w:cstheme="majorBidi"/>
          <w:sz w:val="28"/>
          <w:szCs w:val="28"/>
        </w:rPr>
        <w:t xml:space="preserve"> , lama </w:t>
      </w: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0353C0">
      <w:pPr>
        <w:pStyle w:val="Default"/>
        <w:ind w:left="720"/>
        <w:rPr>
          <w:rFonts w:asciiTheme="majorBidi" w:hAnsiTheme="majorBidi" w:cstheme="majorBidi"/>
          <w:sz w:val="28"/>
          <w:szCs w:val="28"/>
          <w:lang w:bidi="ar-JO"/>
        </w:rPr>
      </w:pPr>
    </w:p>
    <w:p w:rsidR="000353C0" w:rsidRPr="006E4B26" w:rsidRDefault="000353C0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</w:p>
    <w:p w:rsidR="005E1A94" w:rsidRPr="006E4B26" w:rsidRDefault="00024123" w:rsidP="001B0D1C">
      <w:pPr>
        <w:pStyle w:val="Default"/>
        <w:rPr>
          <w:rFonts w:asciiTheme="majorBidi" w:hAnsiTheme="majorBidi" w:cstheme="majorBidi"/>
          <w:sz w:val="28"/>
          <w:szCs w:val="28"/>
          <w:lang w:bidi="ar-JO"/>
        </w:rPr>
      </w:pPr>
      <w:r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="001B0D1C" w:rsidRPr="006E4B26">
        <w:rPr>
          <w:rFonts w:asciiTheme="majorBidi" w:hAnsiTheme="majorBidi" w:cstheme="majorBidi"/>
          <w:sz w:val="28"/>
          <w:szCs w:val="28"/>
          <w:lang w:bidi="ar-JO"/>
        </w:rPr>
        <w:br/>
      </w:r>
      <w:r w:rsidR="001B0D1C" w:rsidRPr="006E4B26">
        <w:rPr>
          <w:rFonts w:asciiTheme="majorBidi" w:hAnsiTheme="majorBidi" w:cstheme="majorBidi"/>
          <w:sz w:val="28"/>
          <w:szCs w:val="28"/>
          <w:lang w:bidi="ar-JO"/>
        </w:rPr>
        <w:br/>
      </w:r>
    </w:p>
    <w:sectPr w:rsidR="005E1A94" w:rsidRPr="006E4B26" w:rsidSect="000962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1F9"/>
    <w:multiLevelType w:val="hybridMultilevel"/>
    <w:tmpl w:val="28743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68A7"/>
    <w:multiLevelType w:val="hybridMultilevel"/>
    <w:tmpl w:val="B7303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830"/>
    <w:rsid w:val="00024123"/>
    <w:rsid w:val="000353C0"/>
    <w:rsid w:val="00050542"/>
    <w:rsid w:val="0009623A"/>
    <w:rsid w:val="001816F5"/>
    <w:rsid w:val="001B0D1C"/>
    <w:rsid w:val="001F7426"/>
    <w:rsid w:val="00573D23"/>
    <w:rsid w:val="005E1A94"/>
    <w:rsid w:val="006C46B1"/>
    <w:rsid w:val="006E4B26"/>
    <w:rsid w:val="008A241F"/>
    <w:rsid w:val="008F3CB0"/>
    <w:rsid w:val="00C928FA"/>
    <w:rsid w:val="00D46830"/>
    <w:rsid w:val="00DB02A8"/>
    <w:rsid w:val="00E05F0A"/>
    <w:rsid w:val="00F76507"/>
    <w:rsid w:val="00F8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D46830"/>
  </w:style>
  <w:style w:type="character" w:customStyle="1" w:styleId="apple-converted-space">
    <w:name w:val="apple-converted-space"/>
    <w:basedOn w:val="DefaultParagraphFont"/>
    <w:rsid w:val="00D46830"/>
  </w:style>
  <w:style w:type="character" w:styleId="Hyperlink">
    <w:name w:val="Hyperlink"/>
    <w:basedOn w:val="DefaultParagraphFont"/>
    <w:uiPriority w:val="99"/>
    <w:semiHidden/>
    <w:unhideWhenUsed/>
    <w:rsid w:val="00D46830"/>
    <w:rPr>
      <w:color w:val="0000FF"/>
      <w:u w:val="single"/>
    </w:rPr>
  </w:style>
  <w:style w:type="character" w:customStyle="1" w:styleId="f1">
    <w:name w:val="f1"/>
    <w:basedOn w:val="DefaultParagraphFont"/>
    <w:rsid w:val="000353C0"/>
  </w:style>
  <w:style w:type="paragraph" w:styleId="ListParagraph">
    <w:name w:val="List Paragraph"/>
    <w:basedOn w:val="Normal"/>
    <w:uiPriority w:val="34"/>
    <w:qFormat/>
    <w:rsid w:val="000353C0"/>
    <w:pPr>
      <w:ind w:left="720"/>
      <w:contextualSpacing/>
    </w:pPr>
  </w:style>
  <w:style w:type="character" w:customStyle="1" w:styleId="f3">
    <w:name w:val="f3"/>
    <w:basedOn w:val="DefaultParagraphFont"/>
    <w:rsid w:val="000353C0"/>
  </w:style>
  <w:style w:type="character" w:customStyle="1" w:styleId="f2">
    <w:name w:val="f2"/>
    <w:basedOn w:val="DefaultParagraphFont"/>
    <w:rsid w:val="000353C0"/>
  </w:style>
  <w:style w:type="character" w:customStyle="1" w:styleId="a">
    <w:name w:val="_"/>
    <w:basedOn w:val="DefaultParagraphFont"/>
    <w:rsid w:val="00035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lama</cp:lastModifiedBy>
  <cp:revision>10</cp:revision>
  <dcterms:created xsi:type="dcterms:W3CDTF">2013-11-07T18:31:00Z</dcterms:created>
  <dcterms:modified xsi:type="dcterms:W3CDTF">2013-11-08T21:48:00Z</dcterms:modified>
</cp:coreProperties>
</file>